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62D14A64" w:rsidR="000B7AB8" w:rsidRDefault="00AF2180">
      <w:r>
        <w:rPr>
          <w:noProof/>
        </w:rPr>
        <w:drawing>
          <wp:anchor distT="0" distB="0" distL="114300" distR="114300" simplePos="0" relativeHeight="251658240" behindDoc="0" locked="0" layoutInCell="1" allowOverlap="1" wp14:anchorId="121FC0DD" wp14:editId="499B6837">
            <wp:simplePos x="0" y="0"/>
            <wp:positionH relativeFrom="margin">
              <wp:align>left</wp:align>
            </wp:positionH>
            <wp:positionV relativeFrom="page">
              <wp:posOffset>190500</wp:posOffset>
            </wp:positionV>
            <wp:extent cx="1076325" cy="805815"/>
            <wp:effectExtent l="0" t="0" r="9525" b="0"/>
            <wp:wrapSquare wrapText="bothSides"/>
            <wp:docPr id="1" name="Imagen 1" descr="C:\Users\USS\Desktop\44576970_2217952794923868_26947643065950535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\Desktop\44576970_2217952794923868_269476430659505356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t="19621" r="11076" b="20885"/>
                    <a:stretch/>
                  </pic:blipFill>
                  <pic:spPr bwMode="auto">
                    <a:xfrm>
                      <a:off x="0" y="0"/>
                      <a:ext cx="10763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C47752E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F540F6">
              <w:t>Matemáticas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203CFDC5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040F00">
              <w:t>7</w:t>
            </w:r>
            <w:r w:rsidR="00F540F6">
              <w:t>°Básico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563D839E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F91D6A">
              <w:t>Primer Semestre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7010F68B" w:rsidR="008E06A8" w:rsidRPr="008E06A8" w:rsidRDefault="008E06A8" w:rsidP="00B05931">
            <w:r w:rsidRPr="008E06A8">
              <w:t>Unidad didáctica:</w:t>
            </w:r>
            <w:r w:rsidR="00040F00">
              <w:t xml:space="preserve"> Cuarta</w:t>
            </w:r>
            <w:r w:rsidR="00F91D6A">
              <w:t xml:space="preserve"> Unidad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1519042C" w:rsidR="008E06A8" w:rsidRPr="008E06A8" w:rsidRDefault="00B05931" w:rsidP="00874793">
            <w:r>
              <w:t>Tiempo</w:t>
            </w:r>
            <w:r w:rsidR="00B3342F">
              <w:t>:</w:t>
            </w:r>
            <w:r w:rsidR="001B6720">
              <w:t xml:space="preserve"> </w:t>
            </w:r>
            <w:r w:rsidR="001B61B3">
              <w:t xml:space="preserve"> 45 min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3185BCCF" w:rsidR="00CE0430" w:rsidRPr="008E06A8" w:rsidRDefault="00C01C82" w:rsidP="0051405A">
            <w:r>
              <w:t xml:space="preserve">Docente: </w:t>
            </w:r>
            <w:r w:rsidR="001B61B3">
              <w:t>Isabel Molina Sandoval.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307CF898" w14:textId="77777777" w:rsidR="00040F00" w:rsidRPr="00040F00" w:rsidRDefault="00F540F6" w:rsidP="00040F00">
            <w:pPr>
              <w:jc w:val="both"/>
              <w:rPr>
                <w:rFonts w:cstheme="minorHAnsi"/>
                <w:shd w:val="clear" w:color="auto" w:fill="FFFFFF"/>
                <w:lang w:val="es-CL"/>
              </w:rPr>
            </w:pPr>
            <w:r w:rsidRPr="00F540F6">
              <w:rPr>
                <w:rFonts w:cstheme="minorHAnsi"/>
                <w:shd w:val="clear" w:color="auto" w:fill="FFFFFF"/>
              </w:rPr>
              <w:t xml:space="preserve">OA_ </w:t>
            </w:r>
            <w:r w:rsidR="00040F00">
              <w:rPr>
                <w:rFonts w:cstheme="minorHAnsi"/>
                <w:shd w:val="clear" w:color="auto" w:fill="FFFFFF"/>
              </w:rPr>
              <w:t xml:space="preserve">16 </w:t>
            </w:r>
            <w:r w:rsidR="00040F00" w:rsidRPr="00040F00">
              <w:rPr>
                <w:rFonts w:cstheme="minorHAnsi"/>
                <w:shd w:val="clear" w:color="auto" w:fill="FFFFFF"/>
                <w:lang w:val="es-CL"/>
              </w:rPr>
              <w:t>Representar datos obtenidos en una muestra mediante tablas de frecuencias absolutas y relativas, utilizando gráficos apropiados, de manera manual y/o con software educativo.</w:t>
            </w:r>
          </w:p>
          <w:p w14:paraId="7C527E05" w14:textId="2BC4C1B8" w:rsidR="00C71F21" w:rsidRPr="00F91D6A" w:rsidRDefault="00C71F21" w:rsidP="00D85F7E">
            <w:pPr>
              <w:jc w:val="both"/>
              <w:rPr>
                <w:rFonts w:cstheme="minorHAnsi"/>
                <w:shd w:val="clear" w:color="auto" w:fill="FFFFFF"/>
                <w:lang w:val="es-CL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5320F87B" w14:textId="00C4C04D" w:rsidR="00F91D6A" w:rsidRPr="000D793B" w:rsidRDefault="000D793B" w:rsidP="000D793B">
            <w:pPr>
              <w:jc w:val="both"/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-</w:t>
            </w:r>
            <w:r w:rsidR="00F91D6A" w:rsidRPr="000D793B">
              <w:rPr>
                <w:bCs/>
                <w:lang w:val="es-CL"/>
              </w:rPr>
              <w:t>Representar: Usar representaciones y estrategias para comprender mejor problemas e información matemática.</w:t>
            </w:r>
          </w:p>
          <w:p w14:paraId="6C4ADA1F" w14:textId="60A65290" w:rsidR="00F91D6A" w:rsidRPr="000D793B" w:rsidRDefault="000D793B" w:rsidP="000D793B">
            <w:pPr>
              <w:jc w:val="both"/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-</w:t>
            </w:r>
            <w:r w:rsidRPr="000D793B">
              <w:rPr>
                <w:bCs/>
                <w:lang w:val="es-CL"/>
              </w:rPr>
              <w:t>Resolver problemas: Resolver problemas aplicando una variedad de estrategias, como la estrategia de los 4 pasos: entender, planificar, hacer y comprobar.</w:t>
            </w:r>
          </w:p>
          <w:p w14:paraId="6C6D41F8" w14:textId="70FD14D6" w:rsidR="00F540F6" w:rsidRPr="00F540F6" w:rsidRDefault="00F540F6" w:rsidP="00F540F6">
            <w:pPr>
              <w:jc w:val="both"/>
              <w:rPr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2854F170" w14:textId="60B411AF" w:rsidR="0019538D" w:rsidRPr="000D793B" w:rsidRDefault="001B6720" w:rsidP="009B576D">
            <w:pPr>
              <w:jc w:val="both"/>
              <w:rPr>
                <w:lang w:val="es-CL"/>
              </w:rPr>
            </w:pPr>
            <w:r>
              <w:t xml:space="preserve">- </w:t>
            </w:r>
            <w:r w:rsidR="00F91D6A" w:rsidRPr="00F91D6A">
              <w:rPr>
                <w:lang w:val="es-CL"/>
              </w:rPr>
              <w:t>Abordar de manera flexible y creativa la búsqueda de soluciones a problemas.</w:t>
            </w:r>
          </w:p>
          <w:p w14:paraId="5099FC72" w14:textId="0907E492" w:rsidR="000D793B" w:rsidRDefault="001B6720" w:rsidP="000D793B">
            <w:pPr>
              <w:jc w:val="both"/>
              <w:rPr>
                <w:lang w:val="es-CL"/>
              </w:rPr>
            </w:pPr>
            <w:r>
              <w:t xml:space="preserve">- </w:t>
            </w:r>
            <w:r w:rsidR="000D793B" w:rsidRPr="000D793B">
              <w:rPr>
                <w:lang w:val="es-CL"/>
              </w:rPr>
              <w:t>Manifestar curiosidad e interés por el aprendizaje de las matemáticas.</w:t>
            </w:r>
          </w:p>
          <w:p w14:paraId="769179A5" w14:textId="56C7B1FF" w:rsidR="000D793B" w:rsidRPr="000D793B" w:rsidRDefault="000D793B" w:rsidP="000D793B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0D793B">
              <w:rPr>
                <w:lang w:val="es-CL"/>
              </w:rPr>
              <w:t>Manifestar una actitud positiva frente a sí mismo y sus capacidades</w:t>
            </w:r>
            <w:r>
              <w:rPr>
                <w:lang w:val="es-CL"/>
              </w:rPr>
              <w:t>.</w:t>
            </w:r>
          </w:p>
          <w:p w14:paraId="0ED857F5" w14:textId="1CB31E35" w:rsidR="000D793B" w:rsidRDefault="000D793B" w:rsidP="000D793B">
            <w:pPr>
              <w:jc w:val="both"/>
              <w:rPr>
                <w:lang w:val="es-CL"/>
              </w:rPr>
            </w:pPr>
          </w:p>
          <w:p w14:paraId="52A46D74" w14:textId="77777777" w:rsidR="000D793B" w:rsidRPr="000D793B" w:rsidRDefault="000D793B" w:rsidP="000D793B">
            <w:pPr>
              <w:jc w:val="both"/>
              <w:rPr>
                <w:lang w:val="es-CL"/>
              </w:rPr>
            </w:pPr>
          </w:p>
          <w:p w14:paraId="196EB695" w14:textId="20755711" w:rsidR="001B6720" w:rsidRPr="009B576D" w:rsidRDefault="001B6720" w:rsidP="009B576D">
            <w:pPr>
              <w:jc w:val="both"/>
            </w:pP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343EC170" w:rsidR="003661E6" w:rsidRPr="003661E6" w:rsidRDefault="00040F00" w:rsidP="00B3342F">
            <w:pPr>
              <w:jc w:val="center"/>
            </w:pPr>
            <w:r>
              <w:t>Probabilidades, muestra, población</w:t>
            </w:r>
            <w:r w:rsidR="006A079D">
              <w:t>, estadística.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755EAA0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18836267" w:rsidR="000522FE" w:rsidRPr="000522FE" w:rsidRDefault="00040F00" w:rsidP="00C7115E">
            <w:pPr>
              <w:ind w:left="250"/>
              <w:jc w:val="center"/>
            </w:pPr>
            <w:r>
              <w:t>Tablas de frecuencia, marca de clase, muestras.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6EBA7333" w:rsidR="00166134" w:rsidRPr="00166134" w:rsidRDefault="00040F00" w:rsidP="00EC34F3">
            <w:pPr>
              <w:jc w:val="center"/>
            </w:pPr>
            <w:r>
              <w:t>Representar datos de una muestra a través de tablas de frecuencias.</w:t>
            </w: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3626D819" w:rsidR="000C1DB7" w:rsidRDefault="00040F00" w:rsidP="00B3342F">
            <w:pPr>
              <w:jc w:val="center"/>
            </w:pPr>
            <w:r>
              <w:t>Tablas de frecuencia, frecuencia absoluta y relativa</w:t>
            </w:r>
            <w:r w:rsidR="006A079D">
              <w:t>, acumulada, porcentual</w:t>
            </w:r>
            <w:r>
              <w:t>, marca de clase, gráficos</w:t>
            </w:r>
            <w:r w:rsidR="009A7F37">
              <w:t>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2AD8EA74" w:rsidR="000C1DB7" w:rsidRDefault="00EC34F3" w:rsidP="00B3342F">
            <w:pPr>
              <w:jc w:val="center"/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16F2DD32" w:rsidR="000C1DB7" w:rsidRPr="000C1DB7" w:rsidRDefault="00C57BD9" w:rsidP="00B3342F">
            <w:pPr>
              <w:jc w:val="center"/>
            </w:pPr>
            <w:r>
              <w:t>Pauta de Desafío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0B7C7DE" w14:textId="77777777" w:rsidR="00EC34F3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</w:p>
          <w:p w14:paraId="43E8EB85" w14:textId="77777777" w:rsidR="000C1DB7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5C48BEC1" w:rsidR="00EC34F3" w:rsidRPr="00EC34F3" w:rsidRDefault="00C57BD9" w:rsidP="00EF4454">
            <w:pPr>
              <w:jc w:val="center"/>
              <w:rPr>
                <w:bCs/>
              </w:rPr>
            </w:pPr>
            <w:r>
              <w:rPr>
                <w:bCs/>
              </w:rPr>
              <w:t>Auto</w:t>
            </w:r>
            <w:r w:rsidR="00EC34F3">
              <w:rPr>
                <w:bCs/>
              </w:rPr>
              <w:t>evaluación</w:t>
            </w:r>
          </w:p>
        </w:tc>
      </w:tr>
      <w:tr w:rsidR="00CE0430" w:rsidRPr="00CE0430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3511902" w14:textId="77BA35C6" w:rsidR="000522FE" w:rsidRDefault="000522FE" w:rsidP="00052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minutos)</w:t>
            </w:r>
          </w:p>
          <w:p w14:paraId="59390D8F" w14:textId="28F94841" w:rsidR="000522FE" w:rsidRPr="001C686F" w:rsidRDefault="00503DC3" w:rsidP="000522FE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 través de la cápsula l</w:t>
            </w:r>
            <w:r w:rsidR="00F650D9">
              <w:rPr>
                <w:sz w:val="24"/>
                <w:szCs w:val="24"/>
              </w:rPr>
              <w:t>a docente saludará a los estudiantes dando a conocer el objetivo y normas de la clase, incluyendo lo que espera de ellos al finalizarla.</w:t>
            </w:r>
          </w:p>
          <w:p w14:paraId="7E559BEF" w14:textId="790A032E" w:rsidR="001C686F" w:rsidRDefault="001C686F" w:rsidP="000522FE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docente realizará una breve actividad de </w:t>
            </w:r>
            <w:r w:rsidR="00AF2180">
              <w:rPr>
                <w:sz w:val="24"/>
                <w:szCs w:val="24"/>
              </w:rPr>
              <w:t>inicio, la cual consistirá en un breve ejercicio de gimnasia cerebral para mejorar la concentración y la escucha de los estudiantes.</w:t>
            </w:r>
          </w:p>
          <w:p w14:paraId="5154BCC1" w14:textId="7969E385" w:rsidR="00351C7D" w:rsidRPr="00840DD1" w:rsidRDefault="00351C7D" w:rsidP="0010141C">
            <w:pPr>
              <w:pStyle w:val="Prrafodelista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2F7FAD6D" w14:textId="3674DE4E" w:rsidR="00F91D6A" w:rsidRDefault="009A7F37" w:rsidP="00F91D6A">
            <w:pPr>
              <w:jc w:val="both"/>
            </w:pPr>
            <w:r>
              <w:lastRenderedPageBreak/>
              <w:t>-</w:t>
            </w:r>
            <w:r w:rsidR="00040F00" w:rsidRPr="00040F00">
              <w:t>Saca datos de los gráficos y los registra en tablas, diferenciando entre la frecuencia relativa y la absoluta.</w:t>
            </w:r>
          </w:p>
          <w:p w14:paraId="74BAD8AA" w14:textId="3C8118A6" w:rsidR="00040F00" w:rsidRPr="00F33C06" w:rsidRDefault="00040F00" w:rsidP="00F91D6A">
            <w:pPr>
              <w:jc w:val="both"/>
            </w:pPr>
            <w:r>
              <w:lastRenderedPageBreak/>
              <w:t>-</w:t>
            </w:r>
            <w:r w:rsidRPr="00040F00">
              <w:t>Confecciona tablas de frecuencias absolutas y relativas de los datos obtenidos en las muestras.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DDA6EC0" w14:textId="4877439A" w:rsidR="003865BD" w:rsidRDefault="009A7F37" w:rsidP="00F91D6A">
            <w:pPr>
              <w:jc w:val="both"/>
            </w:pPr>
            <w:r>
              <w:lastRenderedPageBreak/>
              <w:t>-</w:t>
            </w:r>
            <w:r w:rsidR="003865BD">
              <w:t xml:space="preserve"> Cápsula </w:t>
            </w:r>
          </w:p>
          <w:p w14:paraId="22693760" w14:textId="624A2E8B" w:rsidR="003865BD" w:rsidRDefault="003865BD" w:rsidP="00F91D6A">
            <w:pPr>
              <w:jc w:val="both"/>
            </w:pPr>
            <w:r>
              <w:t>- Imágenes</w:t>
            </w:r>
          </w:p>
          <w:p w14:paraId="52E86ED3" w14:textId="4E4E2D6E" w:rsidR="003865BD" w:rsidRPr="00166134" w:rsidRDefault="003865BD" w:rsidP="00F91D6A">
            <w:pPr>
              <w:jc w:val="both"/>
            </w:pPr>
          </w:p>
          <w:p w14:paraId="6D655B58" w14:textId="7C497224" w:rsidR="009A7F37" w:rsidRPr="00166134" w:rsidRDefault="009A7F37" w:rsidP="006977C6">
            <w:pPr>
              <w:jc w:val="both"/>
            </w:pP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A039864" w14:textId="60BB4548" w:rsidR="000522FE" w:rsidRDefault="000522FE" w:rsidP="000522FE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</w:t>
            </w:r>
            <w:r w:rsidR="00C57BD9">
              <w:rPr>
                <w:sz w:val="24"/>
                <w:szCs w:val="24"/>
                <w:lang w:val="es-CL"/>
              </w:rPr>
              <w:t>25</w:t>
            </w:r>
            <w:r>
              <w:rPr>
                <w:sz w:val="24"/>
                <w:szCs w:val="24"/>
                <w:lang w:val="es-CL"/>
              </w:rPr>
              <w:t xml:space="preserve"> minutos)</w:t>
            </w:r>
          </w:p>
          <w:p w14:paraId="33E6B684" w14:textId="64A4463D" w:rsidR="001C686F" w:rsidRPr="00AF2180" w:rsidRDefault="001C686F" w:rsidP="00AF2180">
            <w:pPr>
              <w:jc w:val="both"/>
              <w:rPr>
                <w:sz w:val="24"/>
                <w:szCs w:val="24"/>
                <w:lang w:val="es-CL"/>
              </w:rPr>
            </w:pPr>
          </w:p>
          <w:p w14:paraId="46F9EB66" w14:textId="28F3E813" w:rsidR="000522FE" w:rsidRPr="0010141C" w:rsidRDefault="0010141C" w:rsidP="000522FE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Terminando con el </w:t>
            </w:r>
            <w:r w:rsidR="00AF2180">
              <w:rPr>
                <w:sz w:val="24"/>
                <w:szCs w:val="24"/>
                <w:lang w:val="es-CL"/>
              </w:rPr>
              <w:t>ejercicio</w:t>
            </w:r>
            <w:r>
              <w:rPr>
                <w:sz w:val="24"/>
                <w:szCs w:val="24"/>
                <w:lang w:val="es-CL"/>
              </w:rPr>
              <w:t xml:space="preserve"> la docente presentará </w:t>
            </w:r>
            <w:r w:rsidR="00AF2180">
              <w:rPr>
                <w:sz w:val="24"/>
                <w:szCs w:val="24"/>
                <w:lang w:val="es-CL"/>
              </w:rPr>
              <w:t>una serie de diapositivas en las que se definirá y explicará lo que es la frecuencia absoluta y relativa, a</w:t>
            </w:r>
            <w:r>
              <w:rPr>
                <w:sz w:val="24"/>
                <w:szCs w:val="24"/>
                <w:lang w:val="es-CL"/>
              </w:rPr>
              <w:t xml:space="preserve"> través de distintos ejemplos para facilitar la comprensión de los estudiantes</w:t>
            </w:r>
            <w:r>
              <w:rPr>
                <w:sz w:val="24"/>
                <w:szCs w:val="24"/>
              </w:rPr>
              <w:t>.</w:t>
            </w:r>
          </w:p>
          <w:p w14:paraId="7E35324F" w14:textId="7025A0CF" w:rsidR="0010141C" w:rsidRDefault="0010141C" w:rsidP="000522FE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Cada ejercicio o problema presentado irá con su respectivo procedimiento de resolución explicado por la docente en la cápsula</w:t>
            </w:r>
            <w:r w:rsidR="00AF2180">
              <w:rPr>
                <w:sz w:val="24"/>
                <w:szCs w:val="24"/>
                <w:lang w:val="es-CL"/>
              </w:rPr>
              <w:t>, con la finalidad de que los estudiantes a través de la observación logren comprender como se resuelve cada ejercicio, como se completa cada una de las tablas y como interpretar cada una de ellas para responder las distintas preguntas</w:t>
            </w:r>
            <w:r>
              <w:rPr>
                <w:sz w:val="24"/>
                <w:szCs w:val="24"/>
                <w:lang w:val="es-CL"/>
              </w:rPr>
              <w:t xml:space="preserve">. </w:t>
            </w:r>
          </w:p>
          <w:p w14:paraId="36413E2F" w14:textId="3B4B1982" w:rsidR="00EF4454" w:rsidRPr="000522FE" w:rsidRDefault="00EF4454" w:rsidP="0010141C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3865BD">
        <w:trPr>
          <w:trHeight w:val="1062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50E4960" w14:textId="11A5F52B" w:rsidR="000522FE" w:rsidRDefault="000522FE" w:rsidP="00052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 </w:t>
            </w:r>
            <w:r w:rsidR="00D472A2">
              <w:rPr>
                <w:sz w:val="24"/>
                <w:szCs w:val="24"/>
              </w:rPr>
              <w:t>(10</w:t>
            </w:r>
            <w:r>
              <w:rPr>
                <w:sz w:val="24"/>
                <w:szCs w:val="24"/>
              </w:rPr>
              <w:t xml:space="preserve"> minutos)</w:t>
            </w:r>
          </w:p>
          <w:p w14:paraId="3A2FDB59" w14:textId="182F088F" w:rsidR="00AF2180" w:rsidRDefault="00AF2180" w:rsidP="0010141C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terminar la clase, la docente realizará un breve desafío matemático, en el que los estudiantes deberán aplicar lo aprendido para resolver el ejercicio</w:t>
            </w:r>
            <w:r w:rsidR="003A54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Para esto</w:t>
            </w:r>
            <w:r w:rsidR="00C57B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 dará un tiempo determinado y luego se proyectará el resultado para que los estudiantes puedan verificar sus respuestas.</w:t>
            </w:r>
          </w:p>
          <w:p w14:paraId="6E7EFC4E" w14:textId="304CD17B" w:rsidR="00EF4454" w:rsidRPr="00D472A2" w:rsidRDefault="003A54AA" w:rsidP="0010141C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2180">
              <w:rPr>
                <w:sz w:val="24"/>
                <w:szCs w:val="24"/>
              </w:rPr>
              <w:t xml:space="preserve">Al terminar el desafío, para concluir la clase, la docente se despedirá de los estudiantes a través de la cápsula.  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645713A5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D46EE" w14:textId="77777777" w:rsidR="00D8334E" w:rsidRDefault="00D8334E" w:rsidP="00030007">
      <w:pPr>
        <w:spacing w:after="0" w:line="240" w:lineRule="auto"/>
      </w:pPr>
      <w:r>
        <w:separator/>
      </w:r>
    </w:p>
  </w:endnote>
  <w:endnote w:type="continuationSeparator" w:id="0">
    <w:p w14:paraId="64432592" w14:textId="77777777" w:rsidR="00D8334E" w:rsidRDefault="00D8334E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09DC" w14:textId="77777777" w:rsidR="00D8334E" w:rsidRDefault="00D8334E" w:rsidP="00030007">
      <w:pPr>
        <w:spacing w:after="0" w:line="240" w:lineRule="auto"/>
      </w:pPr>
      <w:r>
        <w:separator/>
      </w:r>
    </w:p>
  </w:footnote>
  <w:footnote w:type="continuationSeparator" w:id="0">
    <w:p w14:paraId="3824FC49" w14:textId="77777777" w:rsidR="00D8334E" w:rsidRDefault="00D8334E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360"/>
    <w:multiLevelType w:val="multilevel"/>
    <w:tmpl w:val="111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384A"/>
    <w:multiLevelType w:val="hybridMultilevel"/>
    <w:tmpl w:val="4C166D48"/>
    <w:lvl w:ilvl="0" w:tplc="8050F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56EC6B8E"/>
    <w:multiLevelType w:val="hybridMultilevel"/>
    <w:tmpl w:val="C2B6344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C658B"/>
    <w:multiLevelType w:val="hybridMultilevel"/>
    <w:tmpl w:val="D5A48AC6"/>
    <w:lvl w:ilvl="0" w:tplc="3B50D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0F00"/>
    <w:rsid w:val="0004200B"/>
    <w:rsid w:val="000522FE"/>
    <w:rsid w:val="000856C0"/>
    <w:rsid w:val="000B7AB8"/>
    <w:rsid w:val="000C1DB7"/>
    <w:rsid w:val="000D793B"/>
    <w:rsid w:val="000E565C"/>
    <w:rsid w:val="0010141C"/>
    <w:rsid w:val="00123CB7"/>
    <w:rsid w:val="00164AF7"/>
    <w:rsid w:val="00166134"/>
    <w:rsid w:val="0019538D"/>
    <w:rsid w:val="001B61B3"/>
    <w:rsid w:val="001B6720"/>
    <w:rsid w:val="001C686F"/>
    <w:rsid w:val="001D3D87"/>
    <w:rsid w:val="00213E2B"/>
    <w:rsid w:val="0021446B"/>
    <w:rsid w:val="002209A0"/>
    <w:rsid w:val="00284953"/>
    <w:rsid w:val="002C0A6D"/>
    <w:rsid w:val="00320D01"/>
    <w:rsid w:val="0034772E"/>
    <w:rsid w:val="00351C7D"/>
    <w:rsid w:val="003661E6"/>
    <w:rsid w:val="00375A03"/>
    <w:rsid w:val="00383B60"/>
    <w:rsid w:val="00385BC2"/>
    <w:rsid w:val="003865BD"/>
    <w:rsid w:val="0039425D"/>
    <w:rsid w:val="0039630A"/>
    <w:rsid w:val="003A479B"/>
    <w:rsid w:val="003A54AA"/>
    <w:rsid w:val="003B1802"/>
    <w:rsid w:val="003D066C"/>
    <w:rsid w:val="003D35FC"/>
    <w:rsid w:val="003E4B94"/>
    <w:rsid w:val="003F4DD1"/>
    <w:rsid w:val="0041134A"/>
    <w:rsid w:val="0048549E"/>
    <w:rsid w:val="0049033F"/>
    <w:rsid w:val="004A4A23"/>
    <w:rsid w:val="004D6189"/>
    <w:rsid w:val="004D7E2C"/>
    <w:rsid w:val="00503DC3"/>
    <w:rsid w:val="0051405A"/>
    <w:rsid w:val="00540BF4"/>
    <w:rsid w:val="005417C5"/>
    <w:rsid w:val="00546D74"/>
    <w:rsid w:val="00573EB0"/>
    <w:rsid w:val="00597244"/>
    <w:rsid w:val="005D1798"/>
    <w:rsid w:val="005D51E6"/>
    <w:rsid w:val="005E3715"/>
    <w:rsid w:val="005F7D84"/>
    <w:rsid w:val="006140E7"/>
    <w:rsid w:val="00626E47"/>
    <w:rsid w:val="00636B6C"/>
    <w:rsid w:val="006848E7"/>
    <w:rsid w:val="006970C0"/>
    <w:rsid w:val="006977C6"/>
    <w:rsid w:val="006A079D"/>
    <w:rsid w:val="006B546F"/>
    <w:rsid w:val="006C3317"/>
    <w:rsid w:val="006C43BB"/>
    <w:rsid w:val="006D49DE"/>
    <w:rsid w:val="006E4944"/>
    <w:rsid w:val="00761CBA"/>
    <w:rsid w:val="007E1710"/>
    <w:rsid w:val="007F427D"/>
    <w:rsid w:val="00814849"/>
    <w:rsid w:val="00825931"/>
    <w:rsid w:val="00840DD1"/>
    <w:rsid w:val="0086700C"/>
    <w:rsid w:val="00896381"/>
    <w:rsid w:val="008B7336"/>
    <w:rsid w:val="008E06A8"/>
    <w:rsid w:val="008E0CEB"/>
    <w:rsid w:val="008E3777"/>
    <w:rsid w:val="0096182D"/>
    <w:rsid w:val="00977A40"/>
    <w:rsid w:val="009A7F37"/>
    <w:rsid w:val="009B0F0D"/>
    <w:rsid w:val="009B38FF"/>
    <w:rsid w:val="009B576D"/>
    <w:rsid w:val="00A01859"/>
    <w:rsid w:val="00A12A9D"/>
    <w:rsid w:val="00A91926"/>
    <w:rsid w:val="00A92DDF"/>
    <w:rsid w:val="00AF2180"/>
    <w:rsid w:val="00B05931"/>
    <w:rsid w:val="00B2614D"/>
    <w:rsid w:val="00B3342F"/>
    <w:rsid w:val="00B3514B"/>
    <w:rsid w:val="00B439AF"/>
    <w:rsid w:val="00B43E98"/>
    <w:rsid w:val="00B7471C"/>
    <w:rsid w:val="00B915B3"/>
    <w:rsid w:val="00BB0370"/>
    <w:rsid w:val="00BD627C"/>
    <w:rsid w:val="00BE53D8"/>
    <w:rsid w:val="00C01C82"/>
    <w:rsid w:val="00C26EBA"/>
    <w:rsid w:val="00C45F05"/>
    <w:rsid w:val="00C539C6"/>
    <w:rsid w:val="00C57BD9"/>
    <w:rsid w:val="00C7115E"/>
    <w:rsid w:val="00C71F21"/>
    <w:rsid w:val="00CA10D9"/>
    <w:rsid w:val="00CB1968"/>
    <w:rsid w:val="00CC321E"/>
    <w:rsid w:val="00CC5A26"/>
    <w:rsid w:val="00CE0430"/>
    <w:rsid w:val="00CE5FE4"/>
    <w:rsid w:val="00CF5FDD"/>
    <w:rsid w:val="00D130F1"/>
    <w:rsid w:val="00D472A2"/>
    <w:rsid w:val="00D53381"/>
    <w:rsid w:val="00D57A00"/>
    <w:rsid w:val="00D8334E"/>
    <w:rsid w:val="00D85F7E"/>
    <w:rsid w:val="00D86847"/>
    <w:rsid w:val="00DB37AA"/>
    <w:rsid w:val="00E03121"/>
    <w:rsid w:val="00E0767F"/>
    <w:rsid w:val="00E83952"/>
    <w:rsid w:val="00EB00B3"/>
    <w:rsid w:val="00EC34F3"/>
    <w:rsid w:val="00EF4454"/>
    <w:rsid w:val="00F3098E"/>
    <w:rsid w:val="00F314C6"/>
    <w:rsid w:val="00F33C06"/>
    <w:rsid w:val="00F540F6"/>
    <w:rsid w:val="00F557E0"/>
    <w:rsid w:val="00F650D9"/>
    <w:rsid w:val="00F87A6C"/>
    <w:rsid w:val="00F91D6A"/>
    <w:rsid w:val="00F96ED7"/>
    <w:rsid w:val="00FC1F8B"/>
    <w:rsid w:val="00FD68D7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1D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1D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Ingrid Beatriz Moreno Leiva</cp:lastModifiedBy>
  <cp:revision>2</cp:revision>
  <cp:lastPrinted>2019-06-05T13:34:00Z</cp:lastPrinted>
  <dcterms:created xsi:type="dcterms:W3CDTF">2020-07-17T03:02:00Z</dcterms:created>
  <dcterms:modified xsi:type="dcterms:W3CDTF">2020-07-17T03:02:00Z</dcterms:modified>
</cp:coreProperties>
</file>