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9058610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21AAE2D4" w14:textId="77777777" w:rsidR="00C14035" w:rsidRDefault="00C14035">
          <w:r>
            <w:drawing>
              <wp:anchor distT="0" distB="0" distL="114300" distR="114300" simplePos="0" relativeHeight="251660288" behindDoc="0" locked="0" layoutInCell="1" allowOverlap="1" wp14:anchorId="311E13C3" wp14:editId="69E8E239">
                <wp:simplePos x="0" y="0"/>
                <wp:positionH relativeFrom="column">
                  <wp:posOffset>499904</wp:posOffset>
                </wp:positionH>
                <wp:positionV relativeFrom="paragraph">
                  <wp:posOffset>0</wp:posOffset>
                </wp:positionV>
                <wp:extent cx="1679575" cy="1679575"/>
                <wp:effectExtent l="0" t="0" r="0" b="0"/>
                <wp:wrapSquare wrapText="bothSides"/>
                <wp:docPr id="2" name="Imagen 2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n sebastian 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575" cy="167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63BA25D" wp14:editId="58D094B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15D542" w14:textId="77777777" w:rsidR="00C14035" w:rsidRDefault="00C14035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  <w:lang w:val="es-CL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77D9E5" w14:textId="77777777" w:rsidR="00C14035" w:rsidRPr="00C14035" w:rsidRDefault="00C14035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</w:pPr>
                                      <w:r w:rsidRPr="00FC403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 xml:space="preserve">planificación </w:t>
                                      </w:r>
                                      <w:r w:rsidR="00FC4038" w:rsidRPr="00FC403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>7º básico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:lang w:val="es-CL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DEEEDBF" w14:textId="77777777" w:rsidR="00C14035" w:rsidRPr="00C14035" w:rsidRDefault="007C6287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  <w:t>Sendy</w:t>
                                      </w:r>
                                      <w:proofErr w:type="spellEnd"/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  <w:t xml:space="preserve"> Irribarra / </w:t>
                                      </w:r>
                                      <w:proofErr w:type="spellStart"/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  <w:t>Estuadiante</w:t>
                                      </w:r>
                                      <w:proofErr w:type="spellEnd"/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  <w:t xml:space="preserve"> de Pedagogía en Educación Básica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63BA25D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1615D542" w14:textId="77777777" w:rsidR="00C14035" w:rsidRDefault="00C14035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  <w:lang w:val="es-CL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177D9E5" w14:textId="77777777" w:rsidR="00C14035" w:rsidRPr="00C14035" w:rsidRDefault="00C14035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</w:pPr>
                                <w:r w:rsidRPr="00FC403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 xml:space="preserve">planificación </w:t>
                                </w:r>
                                <w:r w:rsidR="00FC4038" w:rsidRPr="00FC403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>7º básico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  <w:lang w:val="es-CL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DEEEDBF" w14:textId="77777777" w:rsidR="00C14035" w:rsidRPr="00C14035" w:rsidRDefault="007C6287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CL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CL"/>
                                  </w:rPr>
                                  <w:t>Sendy</w:t>
                                </w:r>
                                <w:proofErr w:type="spellEnd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CL"/>
                                  </w:rPr>
                                  <w:t xml:space="preserve"> Irribarra / </w:t>
                                </w:r>
                                <w:proofErr w:type="spellStart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CL"/>
                                  </w:rPr>
                                  <w:t>Estuadiante</w:t>
                                </w:r>
                                <w:proofErr w:type="spellEnd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CL"/>
                                  </w:rPr>
                                  <w:t xml:space="preserve"> de Pedagogía en Educación Básica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3CC9DE2" w14:textId="77777777" w:rsidR="00C14035" w:rsidRDefault="00C14035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</w:sdtContent>
    </w:sdt>
    <w:p w14:paraId="4BD1A9CA" w14:textId="77777777" w:rsidR="00C14035" w:rsidRDefault="00C14035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542"/>
        <w:gridCol w:w="4401"/>
        <w:gridCol w:w="2392"/>
        <w:gridCol w:w="2552"/>
      </w:tblGrid>
      <w:tr w:rsidR="003B0FCD" w14:paraId="078879A8" w14:textId="77777777" w:rsidTr="004A7536">
        <w:trPr>
          <w:trHeight w:val="614"/>
        </w:trPr>
        <w:tc>
          <w:tcPr>
            <w:tcW w:w="13887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4C6E7" w:themeFill="accent1" w:themeFillTint="66"/>
            <w:vAlign w:val="center"/>
          </w:tcPr>
          <w:p w14:paraId="456B772F" w14:textId="77777777" w:rsidR="003B0FCD" w:rsidRDefault="003B0FCD" w:rsidP="004A7536">
            <w:pPr>
              <w:jc w:val="center"/>
              <w:rPr>
                <w:b/>
              </w:rPr>
            </w:pPr>
          </w:p>
          <w:p w14:paraId="46C826E2" w14:textId="77777777" w:rsidR="007C6982" w:rsidRDefault="007C6982" w:rsidP="004A7536">
            <w:pPr>
              <w:jc w:val="center"/>
            </w:pPr>
          </w:p>
        </w:tc>
      </w:tr>
      <w:tr w:rsidR="003B0FCD" w14:paraId="4443A6F0" w14:textId="77777777" w:rsidTr="004A7536">
        <w:trPr>
          <w:trHeight w:val="400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9AFD56F" w14:textId="77777777" w:rsidR="003B0FCD" w:rsidRPr="00B425CE" w:rsidRDefault="003B0FCD" w:rsidP="004A7536">
            <w:r w:rsidRPr="00B425CE">
              <w:t>Asignatura:</w:t>
            </w:r>
            <w:r>
              <w:t xml:space="preserve"> Lenguaje, comunicación y literatura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9BCE08" w14:textId="77777777" w:rsidR="003B0FCD" w:rsidRPr="00B425CE" w:rsidRDefault="003B0FCD" w:rsidP="004A7536">
            <w:r w:rsidRPr="00B425CE">
              <w:t>Nivel:</w:t>
            </w:r>
            <w:r>
              <w:t xml:space="preserve"> </w:t>
            </w:r>
            <w:r w:rsidR="008F047C">
              <w:t>7º Básico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93BC00E" w14:textId="77777777" w:rsidR="003B0FCD" w:rsidRPr="00B425CE" w:rsidRDefault="003B0FCD" w:rsidP="004A7536">
            <w:r>
              <w:t xml:space="preserve">Semestre: </w:t>
            </w:r>
            <w:r w:rsidR="00CA0DE6">
              <w:t>2</w:t>
            </w:r>
            <w:r>
              <w:t xml:space="preserve">º semestre </w:t>
            </w:r>
          </w:p>
        </w:tc>
      </w:tr>
      <w:tr w:rsidR="003B0FCD" w14:paraId="14EDC1DD" w14:textId="77777777" w:rsidTr="004A7536">
        <w:trPr>
          <w:trHeight w:val="400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2681475" w14:textId="77777777" w:rsidR="003B0FCD" w:rsidRPr="008E06A8" w:rsidRDefault="003B0FCD" w:rsidP="004A7536">
            <w:r w:rsidRPr="008E06A8">
              <w:t xml:space="preserve">Unidad didáctica: </w:t>
            </w:r>
            <w:r>
              <w:t xml:space="preserve"> </w:t>
            </w:r>
            <w:r w:rsidR="008F047C">
              <w:t>U</w:t>
            </w:r>
            <w:r>
              <w:t xml:space="preserve">nidad </w:t>
            </w:r>
            <w:r w:rsidR="008F047C">
              <w:t>7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DE5D374" w14:textId="77777777" w:rsidR="003B0FCD" w:rsidRPr="008E06A8" w:rsidRDefault="003B0FCD" w:rsidP="004A7536">
            <w:r>
              <w:t xml:space="preserve">Tiempo: </w:t>
            </w:r>
            <w:r w:rsidR="00C17D39">
              <w:t>10 min</w:t>
            </w:r>
          </w:p>
        </w:tc>
      </w:tr>
      <w:tr w:rsidR="003B0FCD" w14:paraId="3F4548E2" w14:textId="77777777" w:rsidTr="004A7536">
        <w:trPr>
          <w:trHeight w:val="400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00330206" w14:textId="77777777" w:rsidR="003B0FCD" w:rsidRPr="008E06A8" w:rsidRDefault="003B0FCD" w:rsidP="004A7536">
            <w:r>
              <w:t>Docente: SENDY IRRIBARRA MARTINEZ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FE13F46" w14:textId="77777777" w:rsidR="003B0FCD" w:rsidRDefault="003B0FCD" w:rsidP="004A7536"/>
        </w:tc>
      </w:tr>
      <w:tr w:rsidR="003B0FCD" w14:paraId="69BBCDA9" w14:textId="77777777" w:rsidTr="004A7536">
        <w:trPr>
          <w:trHeight w:val="965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009CFE8" w14:textId="77777777" w:rsidR="003B0FCD" w:rsidRDefault="003B0FCD" w:rsidP="004A7536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7379CDE5" w14:textId="77777777" w:rsidR="003B0FCD" w:rsidRPr="00166134" w:rsidRDefault="00463AA7" w:rsidP="00FE024B">
            <w:r>
              <w:t xml:space="preserve">OA_ 20 </w:t>
            </w:r>
            <w:r w:rsidR="00FE024B">
              <w:rPr>
                <w:rFonts w:ascii="AppleSystemUIFont" w:hAnsi="AppleSystemUIFont" w:cs="AppleSystemUIFont"/>
                <w:noProof w:val="0"/>
              </w:rPr>
              <w:t>Comprender, comparar y evaluar textos orales y audiovisuales tales como exposiciones, discursos, documentales, noticias, reportajes, etc., considerando: Su postura personal frente a lo escuchado y argumentos que la sustenten. Los temas, conceptos o hechos principales. Una distinción entre los hechos y las opiniones expresadas. Diferentes puntos de vista expresados en los textos. Las relaciones que se establecen entre imágenes, texto y sonido. Relaciones entre lo escuchado y otras manifestaciones artísticas. Relaciones entre lo escuchado y los temas y obras estudiados durante el curso.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2DCC97F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0B2AD7FE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</w:p>
          <w:p w14:paraId="05ACF05C" w14:textId="77777777" w:rsidR="000B3F44" w:rsidRDefault="000B3F44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Comprender </w:t>
            </w:r>
          </w:p>
          <w:p w14:paraId="568DBF07" w14:textId="77777777" w:rsidR="000B3F44" w:rsidRPr="00A66B3E" w:rsidRDefault="000B3F44" w:rsidP="00A66B3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Leer</w:t>
            </w:r>
          </w:p>
          <w:p w14:paraId="16E665EF" w14:textId="77777777" w:rsidR="0009193E" w:rsidRDefault="0009193E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</w:t>
            </w:r>
            <w:r w:rsidR="000B3F44">
              <w:t>xpresar</w:t>
            </w:r>
          </w:p>
          <w:p w14:paraId="1FE13501" w14:textId="77777777" w:rsidR="0009193E" w:rsidRDefault="0009193E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Visualizar </w:t>
            </w:r>
          </w:p>
          <w:p w14:paraId="1DBB1D2A" w14:textId="77777777" w:rsidR="0009193E" w:rsidRDefault="0009193E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Argumentar </w:t>
            </w:r>
          </w:p>
          <w:p w14:paraId="2E5A97C5" w14:textId="77777777" w:rsidR="003B0FCD" w:rsidRPr="00AD2D25" w:rsidRDefault="003B0FCD" w:rsidP="00493304">
            <w:pPr>
              <w:pStyle w:val="Prrafodelista"/>
              <w:spacing w:after="0" w:line="240" w:lineRule="auto"/>
            </w:pPr>
            <w: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47D2D4B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313F7016" w14:textId="77777777" w:rsidR="003B0FCD" w:rsidRPr="009B576D" w:rsidRDefault="00E30C38" w:rsidP="00E30C38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ppleSystemUIFont" w:hAnsi="AppleSystemUIFont" w:cs="AppleSystemUIFont"/>
              </w:rPr>
              <w:t>Trabajar colaborativamente, usando de manera responsable las tecnologías de la comunicación, dando crédito al trabajo de otros y respetando la propiedad y la privacidad de las personas.</w:t>
            </w:r>
          </w:p>
        </w:tc>
      </w:tr>
      <w:tr w:rsidR="003B0FCD" w14:paraId="730EDADC" w14:textId="77777777" w:rsidTr="004A7536">
        <w:trPr>
          <w:trHeight w:val="883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4CDCC25" w14:textId="77777777" w:rsidR="003B0FCD" w:rsidRPr="00166134" w:rsidRDefault="003B0FCD" w:rsidP="004A7536">
            <w:pPr>
              <w:jc w:val="center"/>
            </w:pPr>
            <w:r>
              <w:rPr>
                <w:b/>
              </w:rPr>
              <w:t>Conocimiento previo</w:t>
            </w:r>
          </w:p>
          <w:p w14:paraId="461D9C08" w14:textId="77777777" w:rsidR="003B0FCD" w:rsidRDefault="00007629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Comprensión lectora </w:t>
            </w:r>
          </w:p>
          <w:p w14:paraId="78F7AAA8" w14:textId="77777777" w:rsidR="00007629" w:rsidRDefault="00007629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Ortografía </w:t>
            </w:r>
            <w:r w:rsidR="000B3F44">
              <w:t xml:space="preserve">literal y </w:t>
            </w:r>
            <w:r>
              <w:t>acentual</w:t>
            </w:r>
          </w:p>
          <w:p w14:paraId="505AE15F" w14:textId="77777777" w:rsidR="000B3F44" w:rsidRPr="003661E6" w:rsidRDefault="000B3F44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Redacción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984DA8B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08C0E8F5" w14:textId="77777777" w:rsidR="00CA2E6D" w:rsidRDefault="003B0FCD" w:rsidP="00F0735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  <w:r w:rsidR="00CA2E6D">
              <w:t xml:space="preserve">Argumentación </w:t>
            </w:r>
          </w:p>
          <w:p w14:paraId="6BB5A60A" w14:textId="77777777" w:rsidR="00F0735E" w:rsidRDefault="00F0735E" w:rsidP="00F0735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Opinión y hechos</w:t>
            </w:r>
          </w:p>
          <w:p w14:paraId="32AFBFD3" w14:textId="77777777" w:rsidR="00F0735E" w:rsidRPr="005A6BF9" w:rsidRDefault="00F0735E" w:rsidP="00F0735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Textos orales 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B5ED49A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200ECE58" w14:textId="77777777" w:rsidR="003B0FCD" w:rsidRPr="00596CD6" w:rsidRDefault="00B904AD" w:rsidP="004A7536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 xml:space="preserve">Comprender textos orales y audiovisules </w:t>
            </w:r>
            <w:r w:rsidR="009A2F4E">
              <w:rPr>
                <w:bCs/>
              </w:rPr>
              <w:t xml:space="preserve">para </w:t>
            </w:r>
            <w:r w:rsidR="006632C8">
              <w:rPr>
                <w:bCs/>
              </w:rPr>
              <w:t xml:space="preserve">formular una opinión </w:t>
            </w:r>
            <w:r w:rsidR="00AF22AE">
              <w:rPr>
                <w:bCs/>
              </w:rPr>
              <w:t>con</w:t>
            </w:r>
            <w:r w:rsidR="00F0735E">
              <w:rPr>
                <w:bCs/>
              </w:rPr>
              <w:t xml:space="preserve"> argumentos v</w:t>
            </w:r>
            <w:r w:rsidR="00D61226">
              <w:rPr>
                <w:bCs/>
              </w:rPr>
              <w:t>á</w:t>
            </w:r>
            <w:r w:rsidR="00F0735E">
              <w:rPr>
                <w:bCs/>
              </w:rPr>
              <w:t>lidos.</w:t>
            </w:r>
          </w:p>
        </w:tc>
      </w:tr>
      <w:tr w:rsidR="003B0FCD" w14:paraId="7AAD827A" w14:textId="77777777" w:rsidTr="004A7536">
        <w:trPr>
          <w:trHeight w:val="601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BEF2269" w14:textId="77777777" w:rsidR="003B0FCD" w:rsidRDefault="003B0FCD" w:rsidP="00F0735E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4007CC9E" w14:textId="77777777" w:rsidR="0059302F" w:rsidRDefault="0059302F" w:rsidP="0059302F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Hechos y opiniones </w:t>
            </w:r>
          </w:p>
          <w:p w14:paraId="0641A544" w14:textId="77777777" w:rsidR="00F0735E" w:rsidRDefault="00F0735E" w:rsidP="0059302F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Argumen</w:t>
            </w:r>
            <w:r w:rsidR="007B0092">
              <w:t>t</w:t>
            </w:r>
            <w:r>
              <w:t xml:space="preserve">ación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F6DC958" w14:textId="77777777" w:rsidR="003B0FCD" w:rsidRPr="00B3342F" w:rsidRDefault="003B0FCD" w:rsidP="004A7536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Pr="00B3342F">
              <w:rPr>
                <w:b/>
              </w:rPr>
              <w:t>valuación</w:t>
            </w:r>
          </w:p>
          <w:p w14:paraId="51D1EBD1" w14:textId="77777777" w:rsidR="003B0FCD" w:rsidRDefault="003B0FCD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Formativa </w:t>
            </w:r>
          </w:p>
        </w:tc>
        <w:tc>
          <w:tcPr>
            <w:tcW w:w="23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D508943" w14:textId="77777777" w:rsidR="003B0FCD" w:rsidRDefault="003B0FCD" w:rsidP="004A7536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15AED577" w14:textId="77777777" w:rsidR="007C2077" w:rsidRPr="007C2077" w:rsidRDefault="007C2077" w:rsidP="007C2077">
            <w:pPr>
              <w:pStyle w:val="Prrafodelista"/>
              <w:numPr>
                <w:ilvl w:val="0"/>
                <w:numId w:val="2"/>
              </w:numPr>
              <w:jc w:val="center"/>
              <w:rPr>
                <w:bCs/>
              </w:rPr>
            </w:pPr>
            <w:r w:rsidRPr="007C2077">
              <w:rPr>
                <w:bCs/>
              </w:rPr>
              <w:t xml:space="preserve">Lista de cotejo </w:t>
            </w:r>
          </w:p>
          <w:p w14:paraId="6F3FEF19" w14:textId="77777777" w:rsidR="003B0FCD" w:rsidRPr="00DB4AEF" w:rsidRDefault="00DB4AEF" w:rsidP="00DB4AEF">
            <w:pPr>
              <w:pStyle w:val="Prrafodelista"/>
              <w:numPr>
                <w:ilvl w:val="0"/>
                <w:numId w:val="2"/>
              </w:numPr>
              <w:jc w:val="center"/>
            </w:pPr>
            <w:r w:rsidRPr="00DB4AEF">
              <w:t xml:space="preserve">Guía </w:t>
            </w:r>
          </w:p>
        </w:tc>
        <w:tc>
          <w:tcPr>
            <w:tcW w:w="25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2C48D1E" w14:textId="77777777" w:rsidR="003B0FCD" w:rsidRDefault="003B0FCD" w:rsidP="004A7536">
            <w:pPr>
              <w:jc w:val="center"/>
            </w:pPr>
            <w:r>
              <w:rPr>
                <w:b/>
              </w:rPr>
              <w:t>Forma e</w:t>
            </w:r>
            <w:r w:rsidRPr="00B3342F">
              <w:rPr>
                <w:b/>
              </w:rPr>
              <w:t xml:space="preserve">valuación </w:t>
            </w:r>
          </w:p>
          <w:p w14:paraId="49667544" w14:textId="77777777" w:rsidR="003B0FCD" w:rsidRDefault="003B0FCD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Heteroevaluación </w:t>
            </w:r>
          </w:p>
        </w:tc>
      </w:tr>
      <w:tr w:rsidR="003B0FCD" w:rsidRPr="00CE0430" w14:paraId="2C896ABA" w14:textId="77777777" w:rsidTr="004A7536">
        <w:trPr>
          <w:trHeight w:val="929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single" w:sz="12" w:space="0" w:color="8496B0" w:themeColor="text2" w:themeTint="99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736BD1" w14:textId="77777777" w:rsidR="003B0FCD" w:rsidRPr="00CE0430" w:rsidRDefault="003B0FCD" w:rsidP="004A7536">
            <w:pPr>
              <w:rPr>
                <w:b/>
              </w:rPr>
            </w:pPr>
            <w:r w:rsidRPr="00CE0430">
              <w:rPr>
                <w:b/>
              </w:rPr>
              <w:lastRenderedPageBreak/>
              <w:t>Secuencia didáctica</w:t>
            </w:r>
          </w:p>
        </w:tc>
        <w:tc>
          <w:tcPr>
            <w:tcW w:w="2392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FC2789" w14:textId="77777777" w:rsidR="003B0FCD" w:rsidRPr="00CE0430" w:rsidRDefault="003B0FCD" w:rsidP="004A7536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552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8496B0" w:themeColor="text2" w:themeTint="99"/>
            </w:tcBorders>
            <w:shd w:val="clear" w:color="auto" w:fill="B4C6E7" w:themeFill="accent1" w:themeFillTint="66"/>
            <w:vAlign w:val="center"/>
          </w:tcPr>
          <w:p w14:paraId="0785A14B" w14:textId="77777777" w:rsidR="003B0FCD" w:rsidRPr="00CE0430" w:rsidRDefault="003B0FCD" w:rsidP="004A7536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3B0FCD" w:rsidRPr="00CE0430" w14:paraId="35766A2D" w14:textId="77777777" w:rsidTr="004A753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2ED0290E" w14:textId="77777777" w:rsidR="003B0FCD" w:rsidRDefault="003B0FCD" w:rsidP="004A7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02C3BC81" w14:textId="77777777" w:rsidR="003B0FCD" w:rsidRPr="00D130F1" w:rsidRDefault="003B0FCD" w:rsidP="003B0F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los objetivo: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A2E6D">
              <w:rPr>
                <w:bCs/>
                <w:sz w:val="24"/>
                <w:szCs w:val="24"/>
              </w:rPr>
              <w:t xml:space="preserve">dentro del power point donde se presenta el contenido, estará escrito el objetivo, el cual será explicado por la docente. </w:t>
            </w:r>
          </w:p>
          <w:p w14:paraId="2A23601B" w14:textId="77777777" w:rsidR="00255D9A" w:rsidRDefault="003B0FCD" w:rsidP="00255D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0F1">
              <w:rPr>
                <w:b/>
                <w:sz w:val="24"/>
                <w:szCs w:val="24"/>
              </w:rPr>
              <w:t>Activación conocimientos previos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85B45">
              <w:rPr>
                <w:sz w:val="24"/>
                <w:szCs w:val="24"/>
              </w:rPr>
              <w:t xml:space="preserve">dentro de la cápsula habrán preguntas en las cuales se activarán los conocimientos previos </w:t>
            </w:r>
            <w:r w:rsidR="00F038D1">
              <w:rPr>
                <w:sz w:val="24"/>
                <w:szCs w:val="24"/>
              </w:rPr>
              <w:t>de los estudiante con el objetivo de aproximarse al contenido de la clase</w:t>
            </w:r>
            <w:r w:rsidR="00295A14">
              <w:rPr>
                <w:sz w:val="24"/>
                <w:szCs w:val="24"/>
              </w:rPr>
              <w:t>.</w:t>
            </w:r>
          </w:p>
          <w:p w14:paraId="2A2AAAFA" w14:textId="77777777" w:rsidR="003B0FCD" w:rsidRPr="00D130F1" w:rsidRDefault="003B0FCD" w:rsidP="00255D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5A14">
              <w:rPr>
                <w:bCs/>
                <w:sz w:val="24"/>
                <w:szCs w:val="24"/>
              </w:rPr>
              <w:t xml:space="preserve">la docente les leerá un fragmento de una noticia relacionada con los platillos voladores </w:t>
            </w:r>
            <w:r w:rsidR="00997786">
              <w:rPr>
                <w:bCs/>
                <w:sz w:val="24"/>
                <w:szCs w:val="24"/>
              </w:rPr>
              <w:t xml:space="preserve">y así cada uno de ellos expresará lo que siente y dará su opinión personal </w:t>
            </w:r>
            <w:r w:rsidR="00280D14">
              <w:rPr>
                <w:bCs/>
                <w:sz w:val="24"/>
                <w:szCs w:val="24"/>
              </w:rPr>
              <w:t>frente a un hecho.</w:t>
            </w:r>
          </w:p>
        </w:tc>
        <w:tc>
          <w:tcPr>
            <w:tcW w:w="2392" w:type="dxa"/>
            <w:vMerge w:val="restart"/>
            <w:tcBorders>
              <w:bottom w:val="single" w:sz="12" w:space="0" w:color="8496B0" w:themeColor="text2" w:themeTint="99"/>
            </w:tcBorders>
          </w:tcPr>
          <w:p w14:paraId="41EE0805" w14:textId="77777777" w:rsidR="000435A5" w:rsidRDefault="003B3B7D" w:rsidP="0004395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Marca </w:t>
            </w:r>
            <w:r w:rsidR="003B328F">
              <w:t>la característica principal de la argumentación.</w:t>
            </w:r>
          </w:p>
          <w:p w14:paraId="63B6816E" w14:textId="77777777" w:rsidR="003B328F" w:rsidRDefault="003B328F" w:rsidP="003B328F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Escribe el propósito de la argumentación. </w:t>
            </w:r>
          </w:p>
          <w:p w14:paraId="6B903C17" w14:textId="77777777" w:rsidR="00482CEF" w:rsidRPr="003B328F" w:rsidRDefault="00482CEF" w:rsidP="003B328F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Encierra en un circulo </w:t>
            </w:r>
            <w:r w:rsidR="0021096A">
              <w:t>dos</w:t>
            </w:r>
            <w:r>
              <w:t xml:space="preserve"> ejemplo de </w:t>
            </w:r>
            <w:r w:rsidR="0021096A">
              <w:t>la argumentación.</w:t>
            </w:r>
          </w:p>
          <w:p w14:paraId="175E241C" w14:textId="77777777" w:rsidR="00C10172" w:rsidRDefault="00FA751D" w:rsidP="0004395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Encierra en un circulo </w:t>
            </w:r>
            <w:r w:rsidR="0021096A">
              <w:t xml:space="preserve">la definición que más se acerca al cocepto de </w:t>
            </w:r>
            <w:r>
              <w:t xml:space="preserve"> opini</w:t>
            </w:r>
            <w:r w:rsidR="00E211C6">
              <w:t>ó</w:t>
            </w:r>
            <w:r>
              <w:t>n</w:t>
            </w:r>
            <w:r w:rsidR="000435A5">
              <w:t>.</w:t>
            </w:r>
            <w:r>
              <w:t xml:space="preserve"> </w:t>
            </w:r>
          </w:p>
          <w:p w14:paraId="119C136D" w14:textId="77777777" w:rsidR="003B0FCD" w:rsidRDefault="00C10172" w:rsidP="0004395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Escribe la d</w:t>
            </w:r>
            <w:r w:rsidR="00E3208E">
              <w:t xml:space="preserve">iferencia </w:t>
            </w:r>
            <w:r w:rsidR="00E211C6">
              <w:t xml:space="preserve">entre </w:t>
            </w:r>
            <w:r w:rsidR="00E3208E">
              <w:t xml:space="preserve">un hecho </w:t>
            </w:r>
            <w:r w:rsidR="001D49BB">
              <w:t>y</w:t>
            </w:r>
            <w:r w:rsidR="00E3208E">
              <w:t xml:space="preserve"> una opinión</w:t>
            </w:r>
            <w:r w:rsidR="00BE199F">
              <w:t>.</w:t>
            </w:r>
            <w:r w:rsidR="00E3208E">
              <w:t xml:space="preserve"> </w:t>
            </w:r>
          </w:p>
          <w:p w14:paraId="2BA1FA7D" w14:textId="77777777" w:rsidR="00E3208E" w:rsidRPr="00406903" w:rsidRDefault="00BE199F" w:rsidP="0004395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Redacta una opinión</w:t>
            </w:r>
            <w:r w:rsidR="001F3AA1">
              <w:t xml:space="preserve"> referente a un video.</w:t>
            </w:r>
          </w:p>
        </w:tc>
        <w:tc>
          <w:tcPr>
            <w:tcW w:w="2552" w:type="dxa"/>
            <w:vMerge w:val="restart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013689A" w14:textId="77777777" w:rsidR="003B0FCD" w:rsidRDefault="003B0FCD" w:rsidP="004A7536">
            <w:pPr>
              <w:rPr>
                <w:b/>
              </w:rPr>
            </w:pPr>
          </w:p>
          <w:p w14:paraId="03A09199" w14:textId="77777777" w:rsidR="003B0FCD" w:rsidRDefault="003B0FCD" w:rsidP="003B0FC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Ppt </w:t>
            </w:r>
          </w:p>
          <w:p w14:paraId="41FE5028" w14:textId="77777777" w:rsidR="00614340" w:rsidRPr="001D49BB" w:rsidRDefault="003B0FCD" w:rsidP="001D49BB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Guía de aprendizaje </w:t>
            </w:r>
            <w:r w:rsidR="00614340" w:rsidRPr="001D49BB">
              <w:t xml:space="preserve"> </w:t>
            </w:r>
          </w:p>
          <w:p w14:paraId="5455F128" w14:textId="77777777" w:rsidR="001D49BB" w:rsidRDefault="001D49BB" w:rsidP="006143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Video </w:t>
            </w:r>
          </w:p>
          <w:p w14:paraId="00115F01" w14:textId="77777777" w:rsidR="00614340" w:rsidRPr="00614340" w:rsidRDefault="00614340" w:rsidP="00614340">
            <w:pPr>
              <w:ind w:left="360"/>
            </w:pPr>
          </w:p>
        </w:tc>
      </w:tr>
      <w:tr w:rsidR="003B0FCD" w:rsidRPr="00CE0430" w14:paraId="289B564D" w14:textId="77777777" w:rsidTr="004A753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1AD41EC3" w14:textId="77777777" w:rsidR="003B0FCD" w:rsidRDefault="003B0FCD" w:rsidP="004A753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56ACDADB" w14:textId="77777777" w:rsidR="003B0FCD" w:rsidRPr="006977C6" w:rsidRDefault="003B0FCD" w:rsidP="00AF2D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b/>
                <w:sz w:val="24"/>
                <w:szCs w:val="24"/>
                <w:lang w:val="es-CL"/>
              </w:rPr>
              <w:t xml:space="preserve">: </w:t>
            </w:r>
            <w:r w:rsidR="00D944BF">
              <w:rPr>
                <w:bCs/>
                <w:sz w:val="24"/>
                <w:szCs w:val="24"/>
                <w:lang w:val="es-CL"/>
              </w:rPr>
              <w:t>se les presentará el contenido en un</w:t>
            </w:r>
            <w:r w:rsidR="009B2C17">
              <w:rPr>
                <w:bCs/>
                <w:sz w:val="24"/>
                <w:szCs w:val="24"/>
                <w:lang w:val="es-CL"/>
              </w:rPr>
              <w:t>a</w:t>
            </w:r>
            <w:r w:rsidR="00D944BF">
              <w:rPr>
                <w:bCs/>
                <w:sz w:val="24"/>
                <w:szCs w:val="24"/>
                <w:lang w:val="es-CL"/>
              </w:rPr>
              <w:t xml:space="preserve"> </w:t>
            </w:r>
            <w:r w:rsidR="009B2C17">
              <w:rPr>
                <w:bCs/>
                <w:sz w:val="24"/>
                <w:szCs w:val="24"/>
                <w:lang w:val="es-CL"/>
              </w:rPr>
              <w:t>cápsula</w:t>
            </w:r>
            <w:r w:rsidR="00D944BF">
              <w:rPr>
                <w:bCs/>
                <w:sz w:val="24"/>
                <w:szCs w:val="24"/>
                <w:lang w:val="es-CL"/>
              </w:rPr>
              <w:t xml:space="preserve">, en </w:t>
            </w:r>
            <w:r w:rsidR="009B2C17">
              <w:rPr>
                <w:bCs/>
                <w:sz w:val="24"/>
                <w:szCs w:val="24"/>
                <w:lang w:val="es-CL"/>
              </w:rPr>
              <w:t>la</w:t>
            </w:r>
            <w:r w:rsidR="00A8352B">
              <w:rPr>
                <w:bCs/>
                <w:sz w:val="24"/>
                <w:szCs w:val="24"/>
                <w:lang w:val="es-CL"/>
              </w:rPr>
              <w:t xml:space="preserve"> cual se les explicará las características de</w:t>
            </w:r>
            <w:r w:rsidR="00EA15A9">
              <w:rPr>
                <w:bCs/>
                <w:sz w:val="24"/>
                <w:szCs w:val="24"/>
                <w:lang w:val="es-CL"/>
              </w:rPr>
              <w:t xml:space="preserve"> </w:t>
            </w:r>
            <w:r w:rsidR="00B84B58">
              <w:rPr>
                <w:bCs/>
                <w:sz w:val="24"/>
                <w:szCs w:val="24"/>
                <w:lang w:val="es-CL"/>
              </w:rPr>
              <w:t>la argumentació</w:t>
            </w:r>
            <w:r w:rsidR="00F27B07">
              <w:rPr>
                <w:bCs/>
                <w:sz w:val="24"/>
                <w:szCs w:val="24"/>
                <w:lang w:val="es-CL"/>
              </w:rPr>
              <w:t>n</w:t>
            </w:r>
            <w:r w:rsidR="009B2C17">
              <w:rPr>
                <w:bCs/>
                <w:sz w:val="24"/>
                <w:szCs w:val="24"/>
                <w:lang w:val="es-CL"/>
              </w:rPr>
              <w:t xml:space="preserve">, </w:t>
            </w:r>
            <w:r w:rsidR="00AF2D01">
              <w:rPr>
                <w:bCs/>
                <w:sz w:val="24"/>
                <w:szCs w:val="24"/>
                <w:lang w:val="es-CL"/>
              </w:rPr>
              <w:t xml:space="preserve">hacer la diferencia entre hechos </w:t>
            </w:r>
            <w:r w:rsidR="003A7409">
              <w:rPr>
                <w:bCs/>
                <w:sz w:val="24"/>
                <w:szCs w:val="24"/>
                <w:lang w:val="es-CL"/>
              </w:rPr>
              <w:t>y opiniones</w:t>
            </w:r>
            <w:r w:rsidR="001B5A07">
              <w:rPr>
                <w:bCs/>
                <w:sz w:val="24"/>
                <w:szCs w:val="24"/>
                <w:lang w:val="es-CL"/>
              </w:rPr>
              <w:t xml:space="preserve"> y sus respectivos ejemplos.</w:t>
            </w:r>
          </w:p>
        </w:tc>
        <w:tc>
          <w:tcPr>
            <w:tcW w:w="2392" w:type="dxa"/>
            <w:vMerge/>
            <w:tcBorders>
              <w:bottom w:val="single" w:sz="12" w:space="0" w:color="8496B0" w:themeColor="text2" w:themeTint="99"/>
            </w:tcBorders>
          </w:tcPr>
          <w:p w14:paraId="4054F05B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1595A303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</w:tr>
      <w:tr w:rsidR="003B0FCD" w:rsidRPr="00CE0430" w14:paraId="08B6B652" w14:textId="77777777" w:rsidTr="004A753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6A4A81E4" w14:textId="77777777" w:rsidR="003B0FCD" w:rsidRDefault="003B0FCD" w:rsidP="004A7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( 10 – 15 minutos)</w:t>
            </w:r>
          </w:p>
          <w:p w14:paraId="4765F154" w14:textId="77777777" w:rsidR="003B0FCD" w:rsidRPr="0051405A" w:rsidRDefault="003B0FCD" w:rsidP="003B0F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1B602B" w:rsidRPr="001B602B">
              <w:rPr>
                <w:bCs/>
                <w:sz w:val="24"/>
                <w:szCs w:val="24"/>
              </w:rPr>
              <w:t>al final</w:t>
            </w:r>
            <w:r w:rsidR="00B8583D">
              <w:rPr>
                <w:bCs/>
                <w:sz w:val="24"/>
                <w:szCs w:val="24"/>
              </w:rPr>
              <w:t xml:space="preserve"> de</w:t>
            </w:r>
            <w:r w:rsidR="001B602B" w:rsidRPr="001B602B">
              <w:rPr>
                <w:bCs/>
                <w:sz w:val="24"/>
                <w:szCs w:val="24"/>
              </w:rPr>
              <w:t xml:space="preserve"> la cápsula</w:t>
            </w:r>
            <w:r w:rsidR="00E61919">
              <w:rPr>
                <w:bCs/>
                <w:sz w:val="24"/>
                <w:szCs w:val="24"/>
              </w:rPr>
              <w:t xml:space="preserve">, la docente </w:t>
            </w:r>
            <w:r w:rsidR="00280D14">
              <w:rPr>
                <w:bCs/>
                <w:sz w:val="24"/>
                <w:szCs w:val="24"/>
              </w:rPr>
              <w:t>le dirá a los estudiantes que realicen un mapa conceptual en conjunto</w:t>
            </w:r>
            <w:r w:rsidR="00AC6C42">
              <w:rPr>
                <w:bCs/>
                <w:sz w:val="24"/>
                <w:szCs w:val="24"/>
              </w:rPr>
              <w:t>, la idea es que cada uno de ellos pueda ir escribiendo en su cuaderno dicho mapa conceptual con la finalidad de sintetizar el contenido aprendido y así los conocimientos sean aún más significativos.</w:t>
            </w:r>
          </w:p>
        </w:tc>
        <w:tc>
          <w:tcPr>
            <w:tcW w:w="2392" w:type="dxa"/>
            <w:vMerge/>
            <w:tcBorders>
              <w:bottom w:val="single" w:sz="12" w:space="0" w:color="8496B0" w:themeColor="text2" w:themeTint="99"/>
            </w:tcBorders>
          </w:tcPr>
          <w:p w14:paraId="2CE7F3C4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597F6E48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</w:tr>
    </w:tbl>
    <w:p w14:paraId="647D2C6C" w14:textId="77777777" w:rsidR="00A3232B" w:rsidRDefault="007C6287"/>
    <w:sectPr w:rsidR="00A3232B" w:rsidSect="00C14035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1FD"/>
    <w:multiLevelType w:val="hybridMultilevel"/>
    <w:tmpl w:val="6BBA2212"/>
    <w:lvl w:ilvl="0" w:tplc="6B121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1E"/>
    <w:multiLevelType w:val="hybridMultilevel"/>
    <w:tmpl w:val="9752BBE4"/>
    <w:lvl w:ilvl="0" w:tplc="C024A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D"/>
    <w:rsid w:val="00004E61"/>
    <w:rsid w:val="00007629"/>
    <w:rsid w:val="000261C9"/>
    <w:rsid w:val="000435A5"/>
    <w:rsid w:val="00043955"/>
    <w:rsid w:val="0009193E"/>
    <w:rsid w:val="000B3F44"/>
    <w:rsid w:val="000E42E4"/>
    <w:rsid w:val="001013AD"/>
    <w:rsid w:val="00150BB5"/>
    <w:rsid w:val="001634E6"/>
    <w:rsid w:val="001A309A"/>
    <w:rsid w:val="001B5A07"/>
    <w:rsid w:val="001B602B"/>
    <w:rsid w:val="001C29A3"/>
    <w:rsid w:val="001D49BB"/>
    <w:rsid w:val="001E40FE"/>
    <w:rsid w:val="001F3AA1"/>
    <w:rsid w:val="0021096A"/>
    <w:rsid w:val="002206ED"/>
    <w:rsid w:val="00247E6D"/>
    <w:rsid w:val="00255D9A"/>
    <w:rsid w:val="002762B8"/>
    <w:rsid w:val="00276A8C"/>
    <w:rsid w:val="00280D14"/>
    <w:rsid w:val="00285B45"/>
    <w:rsid w:val="00295A14"/>
    <w:rsid w:val="00330897"/>
    <w:rsid w:val="00330D15"/>
    <w:rsid w:val="00337223"/>
    <w:rsid w:val="00351B35"/>
    <w:rsid w:val="0036190E"/>
    <w:rsid w:val="003623AE"/>
    <w:rsid w:val="003A7409"/>
    <w:rsid w:val="003B0FCD"/>
    <w:rsid w:val="003B328F"/>
    <w:rsid w:val="003B3B7D"/>
    <w:rsid w:val="003D3ACC"/>
    <w:rsid w:val="003F7D3E"/>
    <w:rsid w:val="00406903"/>
    <w:rsid w:val="004547D6"/>
    <w:rsid w:val="00463AA7"/>
    <w:rsid w:val="00482CEF"/>
    <w:rsid w:val="00484B9C"/>
    <w:rsid w:val="00493304"/>
    <w:rsid w:val="004C2067"/>
    <w:rsid w:val="004F27FB"/>
    <w:rsid w:val="00524FF4"/>
    <w:rsid w:val="0054743B"/>
    <w:rsid w:val="0059302F"/>
    <w:rsid w:val="00603FB1"/>
    <w:rsid w:val="00611A80"/>
    <w:rsid w:val="00614340"/>
    <w:rsid w:val="006632C8"/>
    <w:rsid w:val="006D430B"/>
    <w:rsid w:val="006E5A2A"/>
    <w:rsid w:val="00702EBF"/>
    <w:rsid w:val="007B0092"/>
    <w:rsid w:val="007C2077"/>
    <w:rsid w:val="007C6287"/>
    <w:rsid w:val="007C6982"/>
    <w:rsid w:val="00803B1D"/>
    <w:rsid w:val="008F047C"/>
    <w:rsid w:val="009645CE"/>
    <w:rsid w:val="009743E0"/>
    <w:rsid w:val="00997786"/>
    <w:rsid w:val="009A2F4E"/>
    <w:rsid w:val="009B2C17"/>
    <w:rsid w:val="009E2C74"/>
    <w:rsid w:val="00A53A78"/>
    <w:rsid w:val="00A66B3E"/>
    <w:rsid w:val="00A8352B"/>
    <w:rsid w:val="00AC6C42"/>
    <w:rsid w:val="00AE1021"/>
    <w:rsid w:val="00AE782E"/>
    <w:rsid w:val="00AF22AE"/>
    <w:rsid w:val="00AF2D01"/>
    <w:rsid w:val="00B84B58"/>
    <w:rsid w:val="00B8583D"/>
    <w:rsid w:val="00B904AD"/>
    <w:rsid w:val="00BB1747"/>
    <w:rsid w:val="00BE199F"/>
    <w:rsid w:val="00C10172"/>
    <w:rsid w:val="00C14035"/>
    <w:rsid w:val="00C17D39"/>
    <w:rsid w:val="00C21222"/>
    <w:rsid w:val="00CA0DE6"/>
    <w:rsid w:val="00CA2E6D"/>
    <w:rsid w:val="00CB0B3D"/>
    <w:rsid w:val="00D61226"/>
    <w:rsid w:val="00D64421"/>
    <w:rsid w:val="00D944BF"/>
    <w:rsid w:val="00DB4AEF"/>
    <w:rsid w:val="00DF4279"/>
    <w:rsid w:val="00E211C6"/>
    <w:rsid w:val="00E30C38"/>
    <w:rsid w:val="00E3208E"/>
    <w:rsid w:val="00E61919"/>
    <w:rsid w:val="00E956ED"/>
    <w:rsid w:val="00EA15A9"/>
    <w:rsid w:val="00F038D1"/>
    <w:rsid w:val="00F0735E"/>
    <w:rsid w:val="00F14400"/>
    <w:rsid w:val="00F27B07"/>
    <w:rsid w:val="00F43E03"/>
    <w:rsid w:val="00F57B3A"/>
    <w:rsid w:val="00FA751D"/>
    <w:rsid w:val="00FC34BA"/>
    <w:rsid w:val="00FC4038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4731"/>
  <w15:chartTrackingRefBased/>
  <w15:docId w15:val="{775FB06C-C40D-4643-9F63-8A4A30D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FCD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FCD"/>
    <w:pPr>
      <w:spacing w:after="200" w:line="276" w:lineRule="auto"/>
      <w:ind w:left="720"/>
      <w:contextualSpacing/>
    </w:pPr>
    <w:rPr>
      <w:noProof w:val="0"/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43B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43B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7º básico</dc:title>
  <dc:subject>Sendy Irribarra / Estuadiante de Pedagogía en Educación Básica</dc:subject>
  <dc:creator>SENDY IRRIBARRA MARTINEZ</dc:creator>
  <cp:keywords/>
  <dc:description/>
  <cp:lastModifiedBy>Ingrid Beatriz Moreno Leiva</cp:lastModifiedBy>
  <cp:revision>3</cp:revision>
  <dcterms:created xsi:type="dcterms:W3CDTF">2020-07-13T22:37:00Z</dcterms:created>
  <dcterms:modified xsi:type="dcterms:W3CDTF">2020-07-13T22:38:00Z</dcterms:modified>
</cp:coreProperties>
</file>